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7F155" w14:textId="7B7210E8" w:rsidR="00DF3938" w:rsidRPr="00DF3938" w:rsidRDefault="00DF3938" w:rsidP="00DF3938">
      <w:pPr>
        <w:pStyle w:val="Heading1"/>
        <w:rPr>
          <w:rFonts w:ascii="Times New Roman" w:hAnsi="Times New Roman" w:cs="Times New Roman"/>
          <w:color w:val="548DD4" w:themeColor="text2" w:themeTint="99"/>
        </w:rPr>
      </w:pPr>
      <w:r w:rsidRPr="00DF3938">
        <w:rPr>
          <w:rFonts w:ascii="Times New Roman" w:hAnsi="Times New Roman" w:cs="Times New Roman"/>
          <w:color w:val="548DD4" w:themeColor="text2" w:themeTint="99"/>
        </w:rPr>
        <w:t>Supplementary Materials</w:t>
      </w:r>
    </w:p>
    <w:p w14:paraId="0400C3BD" w14:textId="77777777" w:rsidR="008E0423" w:rsidRPr="00DF3938" w:rsidRDefault="00DF3938">
      <w:pPr>
        <w:rPr>
          <w:rFonts w:ascii="Times New Roman" w:hAnsi="Times New Roman" w:cs="Times New Roman"/>
          <w:b/>
          <w:bCs/>
          <w:sz w:val="28"/>
          <w:szCs w:val="28"/>
        </w:rPr>
      </w:pPr>
      <w:r w:rsidRPr="00DF3938">
        <w:rPr>
          <w:rFonts w:ascii="Times New Roman" w:hAnsi="Times New Roman" w:cs="Times New Roman"/>
          <w:b/>
          <w:bCs/>
          <w:sz w:val="28"/>
          <w:szCs w:val="28"/>
        </w:rPr>
        <w:t>Reanalysis-driven Prediction of Monthly Temperature Anomalies in West Africa Using Interpretable Machine Learning</w:t>
      </w:r>
    </w:p>
    <w:p w14:paraId="2C61ED8C" w14:textId="77777777" w:rsidR="008E0423" w:rsidRPr="00DF3938" w:rsidRDefault="00DF3938">
      <w:pPr>
        <w:pStyle w:val="Heading2"/>
        <w:rPr>
          <w:rFonts w:ascii="Times New Roman" w:hAnsi="Times New Roman" w:cs="Times New Roman"/>
          <w:color w:val="548DD4" w:themeColor="text2" w:themeTint="99"/>
          <w:sz w:val="20"/>
          <w:szCs w:val="20"/>
        </w:rPr>
      </w:pPr>
      <w:r w:rsidRPr="00DF3938">
        <w:rPr>
          <w:rFonts w:ascii="Times New Roman" w:hAnsi="Times New Roman" w:cs="Times New Roman"/>
          <w:color w:val="548DD4" w:themeColor="text2" w:themeTint="99"/>
          <w:sz w:val="20"/>
          <w:szCs w:val="20"/>
        </w:rPr>
        <w:t>S1. Domain, Data Sources, and Time Period</w:t>
      </w:r>
    </w:p>
    <w:p w14:paraId="43E2DD10"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This study focuses on monthly near-surface air temperature anomalies over West Africa, covering the domain 20°W–20°E and 0°–25°N. The region includes the Sahel, the Guinea Coast, and transition zones with strong land–atmosphere coupling and coastal–inland contrasts.</w:t>
      </w:r>
    </w:p>
    <w:p w14:paraId="71479A68"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The primary predictand and predictors are derived from the ERA5 reanalysis produced by the European Centre for Medium-Range Weather Forecasts (ECMWF). ERA5 provides hourly global fields on a 0.25° × 0.25° grid from 1979 to present. For this study, data spanning 1981–2024 are used and aggregated to monthly means before anomaly computation.</w:t>
      </w:r>
    </w:p>
    <w:p w14:paraId="62FB81B0"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In addition to reanalysis fields, large-scale climate modes are represented using standard teleconnection indices, including Niño3.4, ATL3 (Atlantic Niño), and Gulf of Guinea SST-related indices. These are incorporated in lagged form to represent remote forcing and slowly evolving oceanic conditions relevant for monthly temperature anomalies in West Africa.</w:t>
      </w:r>
    </w:p>
    <w:p w14:paraId="65AB2B28" w14:textId="77777777" w:rsidR="008E0423" w:rsidRPr="00DF3938" w:rsidRDefault="00DF3938">
      <w:pPr>
        <w:pStyle w:val="Heading2"/>
        <w:rPr>
          <w:rFonts w:ascii="Times New Roman" w:hAnsi="Times New Roman" w:cs="Times New Roman"/>
          <w:color w:val="548DD4" w:themeColor="text2" w:themeTint="99"/>
          <w:sz w:val="20"/>
          <w:szCs w:val="20"/>
        </w:rPr>
      </w:pPr>
      <w:r w:rsidRPr="00DF3938">
        <w:rPr>
          <w:rFonts w:ascii="Times New Roman" w:hAnsi="Times New Roman" w:cs="Times New Roman"/>
          <w:color w:val="548DD4" w:themeColor="text2" w:themeTint="99"/>
          <w:sz w:val="20"/>
          <w:szCs w:val="20"/>
        </w:rPr>
        <w:t>S2. Anomaly Definition and Preprocessing</w:t>
      </w:r>
    </w:p>
    <w:p w14:paraId="72A37EC9"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Monthly 2 m air temperature (T2M) from ERA5 is converted to anomalies by subtracting a long-term monthly climatology defined over the 1991–2020 baseline, consistent with World Meteorological Organization practice. For each grid cell or regional aggregation, the climatological mean for a given calendar month is removed from the corresponding monthly value, yielding a departure from expected conditions.</w:t>
      </w:r>
    </w:p>
    <w:p w14:paraId="0543DC62"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The same anomaly procedure is applied to selected predictor variables (for example, soil moisture, radiative fluxes, and sea-surface temperature) when appropriate. This reduces strong seasonal cycles and emphasizes interannual and intraseasonal variability. All variables are spatially aggregated or masked according to the defined West African domain and its subregions, ensuring consistency between predictors and target.</w:t>
      </w:r>
    </w:p>
    <w:p w14:paraId="176A5CB8"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To prevent information leakage in predictive experiments, lagged features and rolling statistics are computed in a time-respecting manner. When forecasting lead-1 anomalies, contemporaneous target information is excluded from the feature set by construction.</w:t>
      </w:r>
    </w:p>
    <w:p w14:paraId="6673AC66" w14:textId="77777777" w:rsidR="008E0423" w:rsidRPr="00DF3938" w:rsidRDefault="00DF3938">
      <w:pPr>
        <w:pStyle w:val="Heading2"/>
        <w:rPr>
          <w:rFonts w:ascii="Times New Roman" w:hAnsi="Times New Roman" w:cs="Times New Roman"/>
          <w:color w:val="548DD4" w:themeColor="text2" w:themeTint="99"/>
          <w:sz w:val="20"/>
          <w:szCs w:val="20"/>
        </w:rPr>
      </w:pPr>
      <w:r w:rsidRPr="00DF3938">
        <w:rPr>
          <w:rFonts w:ascii="Times New Roman" w:hAnsi="Times New Roman" w:cs="Times New Roman"/>
          <w:color w:val="548DD4" w:themeColor="text2" w:themeTint="99"/>
          <w:sz w:val="20"/>
          <w:szCs w:val="20"/>
        </w:rPr>
        <w:t>S3. Predictor Set and Feature Engineering</w:t>
      </w:r>
    </w:p>
    <w:p w14:paraId="7EA9AFAD"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The predictor set is designed to represent known physical controls on West African temperature variability and to encode both temporal persistence and spatial context. The following grouped predictors are used:</w:t>
      </w:r>
    </w:p>
    <w:p w14:paraId="4EC56BE5"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 Land-surface variables:</w:t>
      </w:r>
      <w:r w:rsidRPr="00DF3938">
        <w:rPr>
          <w:rFonts w:ascii="Times New Roman" w:hAnsi="Times New Roman" w:cs="Times New Roman"/>
          <w:sz w:val="20"/>
          <w:szCs w:val="20"/>
        </w:rPr>
        <w:br/>
        <w:t xml:space="preserve">  - Soil moisture (root-zone or layer-aggregated)</w:t>
      </w:r>
      <w:r w:rsidRPr="00DF3938">
        <w:rPr>
          <w:rFonts w:ascii="Times New Roman" w:hAnsi="Times New Roman" w:cs="Times New Roman"/>
          <w:sz w:val="20"/>
          <w:szCs w:val="20"/>
        </w:rPr>
        <w:br/>
        <w:t xml:space="preserve">  - Surface sensible heat flux (SSHF)</w:t>
      </w:r>
      <w:r w:rsidRPr="00DF3938">
        <w:rPr>
          <w:rFonts w:ascii="Times New Roman" w:hAnsi="Times New Roman" w:cs="Times New Roman"/>
          <w:sz w:val="20"/>
          <w:szCs w:val="20"/>
        </w:rPr>
        <w:br/>
        <w:t xml:space="preserve">  - Surface latent heat flux (SLHF)</w:t>
      </w:r>
      <w:r w:rsidRPr="00DF3938">
        <w:rPr>
          <w:rFonts w:ascii="Times New Roman" w:hAnsi="Times New Roman" w:cs="Times New Roman"/>
          <w:sz w:val="20"/>
          <w:szCs w:val="20"/>
        </w:rPr>
        <w:br/>
        <w:t xml:space="preserve">  - Skin temperature (where applicable)</w:t>
      </w:r>
      <w:r w:rsidRPr="00DF3938">
        <w:rPr>
          <w:rFonts w:ascii="Times New Roman" w:hAnsi="Times New Roman" w:cs="Times New Roman"/>
          <w:sz w:val="20"/>
          <w:szCs w:val="20"/>
        </w:rPr>
        <w:br/>
      </w:r>
      <w:r w:rsidRPr="00DF3938">
        <w:rPr>
          <w:rFonts w:ascii="Times New Roman" w:hAnsi="Times New Roman" w:cs="Times New Roman"/>
          <w:sz w:val="20"/>
          <w:szCs w:val="20"/>
        </w:rPr>
        <w:br/>
        <w:t>- Radiative and thermodynamic variables:</w:t>
      </w:r>
      <w:r w:rsidRPr="00DF3938">
        <w:rPr>
          <w:rFonts w:ascii="Times New Roman" w:hAnsi="Times New Roman" w:cs="Times New Roman"/>
          <w:sz w:val="20"/>
          <w:szCs w:val="20"/>
        </w:rPr>
        <w:br/>
        <w:t xml:space="preserve">  - Surface shortwave radiation (SSR)</w:t>
      </w:r>
      <w:r w:rsidRPr="00DF3938">
        <w:rPr>
          <w:rFonts w:ascii="Times New Roman" w:hAnsi="Times New Roman" w:cs="Times New Roman"/>
          <w:sz w:val="20"/>
          <w:szCs w:val="20"/>
        </w:rPr>
        <w:br/>
      </w:r>
      <w:r w:rsidRPr="00DF3938">
        <w:rPr>
          <w:rFonts w:ascii="Times New Roman" w:hAnsi="Times New Roman" w:cs="Times New Roman"/>
          <w:sz w:val="20"/>
          <w:szCs w:val="20"/>
        </w:rPr>
        <w:lastRenderedPageBreak/>
        <w:t xml:space="preserve">  - Cloud-related proxies and total column water vapour (TCWV)</w:t>
      </w:r>
      <w:r w:rsidRPr="00DF3938">
        <w:rPr>
          <w:rFonts w:ascii="Times New Roman" w:hAnsi="Times New Roman" w:cs="Times New Roman"/>
          <w:sz w:val="20"/>
          <w:szCs w:val="20"/>
        </w:rPr>
        <w:br/>
      </w:r>
      <w:r w:rsidRPr="00DF3938">
        <w:rPr>
          <w:rFonts w:ascii="Times New Roman" w:hAnsi="Times New Roman" w:cs="Times New Roman"/>
          <w:sz w:val="20"/>
          <w:szCs w:val="20"/>
        </w:rPr>
        <w:br/>
        <w:t>- Circulation variables:</w:t>
      </w:r>
      <w:r w:rsidRPr="00DF3938">
        <w:rPr>
          <w:rFonts w:ascii="Times New Roman" w:hAnsi="Times New Roman" w:cs="Times New Roman"/>
          <w:sz w:val="20"/>
          <w:szCs w:val="20"/>
        </w:rPr>
        <w:br/>
        <w:t xml:space="preserve">  - 10 m wind components (U10, V10)</w:t>
      </w:r>
      <w:r w:rsidRPr="00DF3938">
        <w:rPr>
          <w:rFonts w:ascii="Times New Roman" w:hAnsi="Times New Roman" w:cs="Times New Roman"/>
          <w:sz w:val="20"/>
          <w:szCs w:val="20"/>
        </w:rPr>
        <w:br/>
        <w:t xml:space="preserve">  - Selected lower-tropospheric fields where used (temperature, humidity, or geopotential at key pressure levels)</w:t>
      </w:r>
      <w:r w:rsidRPr="00DF3938">
        <w:rPr>
          <w:rFonts w:ascii="Times New Roman" w:hAnsi="Times New Roman" w:cs="Times New Roman"/>
          <w:sz w:val="20"/>
          <w:szCs w:val="20"/>
        </w:rPr>
        <w:br/>
      </w:r>
      <w:r w:rsidRPr="00DF3938">
        <w:rPr>
          <w:rFonts w:ascii="Times New Roman" w:hAnsi="Times New Roman" w:cs="Times New Roman"/>
          <w:sz w:val="20"/>
          <w:szCs w:val="20"/>
        </w:rPr>
        <w:br/>
        <w:t>- Oceanic and teleconnectio</w:t>
      </w:r>
      <w:r w:rsidRPr="00DF3938">
        <w:rPr>
          <w:rFonts w:ascii="Times New Roman" w:hAnsi="Times New Roman" w:cs="Times New Roman"/>
          <w:sz w:val="20"/>
          <w:szCs w:val="20"/>
        </w:rPr>
        <w:t>n indices:</w:t>
      </w:r>
      <w:r w:rsidRPr="00DF3938">
        <w:rPr>
          <w:rFonts w:ascii="Times New Roman" w:hAnsi="Times New Roman" w:cs="Times New Roman"/>
          <w:sz w:val="20"/>
          <w:szCs w:val="20"/>
        </w:rPr>
        <w:br/>
        <w:t xml:space="preserve">  - Gulf of Guinea SST anomalies or regional SST indices</w:t>
      </w:r>
      <w:r w:rsidRPr="00DF3938">
        <w:rPr>
          <w:rFonts w:ascii="Times New Roman" w:hAnsi="Times New Roman" w:cs="Times New Roman"/>
          <w:sz w:val="20"/>
          <w:szCs w:val="20"/>
        </w:rPr>
        <w:br/>
        <w:t xml:space="preserve">  - Niño3.4 and ATL3 indices</w:t>
      </w:r>
      <w:r w:rsidRPr="00DF3938">
        <w:rPr>
          <w:rFonts w:ascii="Times New Roman" w:hAnsi="Times New Roman" w:cs="Times New Roman"/>
          <w:sz w:val="20"/>
          <w:szCs w:val="20"/>
        </w:rPr>
        <w:br/>
        <w:t xml:space="preserve">  - Other large-scale indices where included in the main experiments</w:t>
      </w:r>
      <w:r w:rsidRPr="00DF3938">
        <w:rPr>
          <w:rFonts w:ascii="Times New Roman" w:hAnsi="Times New Roman" w:cs="Times New Roman"/>
          <w:sz w:val="20"/>
          <w:szCs w:val="20"/>
        </w:rPr>
        <w:br/>
      </w:r>
      <w:r w:rsidRPr="00DF3938">
        <w:rPr>
          <w:rFonts w:ascii="Times New Roman" w:hAnsi="Times New Roman" w:cs="Times New Roman"/>
          <w:sz w:val="20"/>
          <w:szCs w:val="20"/>
        </w:rPr>
        <w:br/>
        <w:t>- Temporal and calendar features:</w:t>
      </w:r>
      <w:r w:rsidRPr="00DF3938">
        <w:rPr>
          <w:rFonts w:ascii="Times New Roman" w:hAnsi="Times New Roman" w:cs="Times New Roman"/>
          <w:sz w:val="20"/>
          <w:szCs w:val="20"/>
        </w:rPr>
        <w:br/>
        <w:t xml:space="preserve">  - Sine and cosine transforms of month to encode the annual cycle</w:t>
      </w:r>
      <w:r w:rsidRPr="00DF3938">
        <w:rPr>
          <w:rFonts w:ascii="Times New Roman" w:hAnsi="Times New Roman" w:cs="Times New Roman"/>
          <w:sz w:val="20"/>
          <w:szCs w:val="20"/>
        </w:rPr>
        <w:br/>
        <w:t xml:space="preserve">  - Categorical seasonal indicators (for example, DJF, MAM, JJA, SON)</w:t>
      </w:r>
      <w:r w:rsidRPr="00DF3938">
        <w:rPr>
          <w:rFonts w:ascii="Times New Roman" w:hAnsi="Times New Roman" w:cs="Times New Roman"/>
          <w:sz w:val="20"/>
          <w:szCs w:val="20"/>
        </w:rPr>
        <w:br/>
      </w:r>
      <w:r w:rsidRPr="00DF3938">
        <w:rPr>
          <w:rFonts w:ascii="Times New Roman" w:hAnsi="Times New Roman" w:cs="Times New Roman"/>
          <w:sz w:val="20"/>
          <w:szCs w:val="20"/>
        </w:rPr>
        <w:br/>
        <w:t>- Persistence and memory features:</w:t>
      </w:r>
      <w:r w:rsidRPr="00DF3938">
        <w:rPr>
          <w:rFonts w:ascii="Times New Roman" w:hAnsi="Times New Roman" w:cs="Times New Roman"/>
          <w:sz w:val="20"/>
          <w:szCs w:val="20"/>
        </w:rPr>
        <w:br/>
        <w:t xml:space="preserve">  - Lag-1 temperature anomaly at 2 m (T2M_anom_lag1)</w:t>
      </w:r>
      <w:r w:rsidRPr="00DF3938">
        <w:rPr>
          <w:rFonts w:ascii="Times New Roman" w:hAnsi="Times New Roman" w:cs="Times New Roman"/>
          <w:sz w:val="20"/>
          <w:szCs w:val="20"/>
        </w:rPr>
        <w:br/>
        <w:t xml:space="preserve">  - Additional lagged anomalies or rolling means, where used, to capture multi-month </w:t>
      </w:r>
      <w:r w:rsidRPr="00DF3938">
        <w:rPr>
          <w:rFonts w:ascii="Times New Roman" w:hAnsi="Times New Roman" w:cs="Times New Roman"/>
          <w:sz w:val="20"/>
          <w:szCs w:val="20"/>
        </w:rPr>
        <w:t>memory.</w:t>
      </w:r>
    </w:p>
    <w:p w14:paraId="06C90756" w14:textId="77777777" w:rsidR="008E0423" w:rsidRPr="00DF3938" w:rsidRDefault="00DF3938">
      <w:pPr>
        <w:pStyle w:val="Heading2"/>
        <w:rPr>
          <w:rFonts w:ascii="Times New Roman" w:hAnsi="Times New Roman" w:cs="Times New Roman"/>
          <w:color w:val="548DD4" w:themeColor="text2" w:themeTint="99"/>
          <w:sz w:val="20"/>
          <w:szCs w:val="20"/>
        </w:rPr>
      </w:pPr>
      <w:r w:rsidRPr="00DF3938">
        <w:rPr>
          <w:rFonts w:ascii="Times New Roman" w:hAnsi="Times New Roman" w:cs="Times New Roman"/>
          <w:color w:val="548DD4" w:themeColor="text2" w:themeTint="99"/>
          <w:sz w:val="20"/>
          <w:szCs w:val="20"/>
        </w:rPr>
        <w:t>S4. Model Configuration and Training Strategy</w:t>
      </w:r>
    </w:p>
    <w:p w14:paraId="692B2B3B"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Several machine-learning models are employed to predict monthly temperature anomalies, including linear models (Linear Regression, Ridge, Lasso, Elastic Net), tree-based ensembles (Random Forest, XGBoost, LightGBM), and interpretable models (Generalized Additive Models and Explainable Boosting Machine).</w:t>
      </w:r>
    </w:p>
    <w:p w14:paraId="38267118"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All models are trained using a time-respecting expanding-window scheme. Early years are used for initial training, and the window is progressively extended forward in time, with later years reserved for validation and final holdout evaluation. This design imitates an operational setting in which only past data are available at forecast time and helps avoid information leakage.</w:t>
      </w:r>
    </w:p>
    <w:p w14:paraId="35CD6675"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Hyperparameters are selected using randomized or grid-based search combined with cross-validation constrained by temporal order. Typical hyperparameters include learning rate, maximum tree depth, number of estimators, minimum samples per split or leaf, regularization strengths, and smoothness parameters for interpretable models. Final configurations are chosen based on a combination of error metrics and stability of feature attributions.</w:t>
      </w:r>
    </w:p>
    <w:p w14:paraId="23E06DF2" w14:textId="77777777" w:rsidR="008E0423" w:rsidRPr="00DF3938" w:rsidRDefault="00DF3938">
      <w:pPr>
        <w:pStyle w:val="Heading2"/>
        <w:rPr>
          <w:rFonts w:ascii="Times New Roman" w:hAnsi="Times New Roman" w:cs="Times New Roman"/>
          <w:color w:val="548DD4" w:themeColor="text2" w:themeTint="99"/>
          <w:sz w:val="20"/>
          <w:szCs w:val="20"/>
        </w:rPr>
      </w:pPr>
      <w:r w:rsidRPr="00DF3938">
        <w:rPr>
          <w:rFonts w:ascii="Times New Roman" w:hAnsi="Times New Roman" w:cs="Times New Roman"/>
          <w:color w:val="548DD4" w:themeColor="text2" w:themeTint="99"/>
          <w:sz w:val="20"/>
          <w:szCs w:val="20"/>
        </w:rPr>
        <w:t>S5. Evaluation Metrics and Skill Diagnostics</w:t>
      </w:r>
    </w:p>
    <w:p w14:paraId="73E6B5C7"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Model performance is evaluated using several deterministic metrics that capture both error magnitude and anomaly phase agreement:</w:t>
      </w:r>
    </w:p>
    <w:p w14:paraId="74D87D77"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 Root Mean Squared Error (RMSE)</w:t>
      </w:r>
      <w:r w:rsidRPr="00DF3938">
        <w:rPr>
          <w:rFonts w:ascii="Times New Roman" w:hAnsi="Times New Roman" w:cs="Times New Roman"/>
          <w:sz w:val="20"/>
          <w:szCs w:val="20"/>
        </w:rPr>
        <w:br/>
        <w:t>- Mean Absolute Error (MAE)</w:t>
      </w:r>
      <w:r w:rsidRPr="00DF3938">
        <w:rPr>
          <w:rFonts w:ascii="Times New Roman" w:hAnsi="Times New Roman" w:cs="Times New Roman"/>
          <w:sz w:val="20"/>
          <w:szCs w:val="20"/>
        </w:rPr>
        <w:br/>
        <w:t>- Coefficient of Determination (R²)</w:t>
      </w:r>
      <w:r w:rsidRPr="00DF3938">
        <w:rPr>
          <w:rFonts w:ascii="Times New Roman" w:hAnsi="Times New Roman" w:cs="Times New Roman"/>
          <w:sz w:val="20"/>
          <w:szCs w:val="20"/>
        </w:rPr>
        <w:br/>
        <w:t>- Anomaly Correlation Coefficient (ACC)</w:t>
      </w:r>
    </w:p>
    <w:p w14:paraId="305226E8"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Skill is computed for the full West African domain and for defined subregions. In addition to domain-mean metrics, seasonal breakdowns (DJF, MAM, JJA, SON) and lead-time dependence (lead-0, lead-1) are examined. Baseline reference models include climatology (monthly mean) and persistence (previous-month anomaly), enabling the derived metrics to be interpreted in an application-oriented forecasting context.</w:t>
      </w:r>
    </w:p>
    <w:p w14:paraId="5AAB62AE" w14:textId="77777777" w:rsidR="008E0423" w:rsidRPr="00DF3938" w:rsidRDefault="00DF3938">
      <w:pPr>
        <w:pStyle w:val="Heading2"/>
        <w:rPr>
          <w:rFonts w:ascii="Times New Roman" w:hAnsi="Times New Roman" w:cs="Times New Roman"/>
          <w:sz w:val="20"/>
          <w:szCs w:val="20"/>
        </w:rPr>
      </w:pPr>
      <w:r w:rsidRPr="00DF3938">
        <w:rPr>
          <w:rFonts w:ascii="Times New Roman" w:hAnsi="Times New Roman" w:cs="Times New Roman"/>
          <w:color w:val="548DD4" w:themeColor="text2" w:themeTint="99"/>
          <w:sz w:val="20"/>
          <w:szCs w:val="20"/>
        </w:rPr>
        <w:lastRenderedPageBreak/>
        <w:t>S6. Additional Figures and Tables (Suggested Content</w:t>
      </w:r>
      <w:r w:rsidRPr="00DF3938">
        <w:rPr>
          <w:rFonts w:ascii="Times New Roman" w:hAnsi="Times New Roman" w:cs="Times New Roman"/>
          <w:sz w:val="20"/>
          <w:szCs w:val="20"/>
        </w:rPr>
        <w:t>)</w:t>
      </w:r>
    </w:p>
    <w:p w14:paraId="7BF5833A"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The supplementary file can include additional figures and tables that support and extend the main text. Suggested items include:</w:t>
      </w:r>
    </w:p>
    <w:p w14:paraId="14B835FE"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 Figure S1. Spatial distribution of mean temperature anomalies over the study period (1981–2024), highlighting regional gradients.</w:t>
      </w:r>
      <w:r w:rsidRPr="00DF3938">
        <w:rPr>
          <w:rFonts w:ascii="Times New Roman" w:hAnsi="Times New Roman" w:cs="Times New Roman"/>
          <w:sz w:val="20"/>
          <w:szCs w:val="20"/>
        </w:rPr>
        <w:br/>
        <w:t>- Figure S2. Seasonal cycle of regional mean temperature anomalies for key subregions (Sahel, Guinea Coast, etc.), showing differences in annual evolution.</w:t>
      </w:r>
      <w:r w:rsidRPr="00DF3938">
        <w:rPr>
          <w:rFonts w:ascii="Times New Roman" w:hAnsi="Times New Roman" w:cs="Times New Roman"/>
          <w:sz w:val="20"/>
          <w:szCs w:val="20"/>
        </w:rPr>
        <w:br/>
        <w:t>- Figure S3. Seasonal and regional RMSE and ACC for lead-0 and lead-1 forecasts for the main model or models.</w:t>
      </w:r>
      <w:r w:rsidRPr="00DF3938">
        <w:rPr>
          <w:rFonts w:ascii="Times New Roman" w:hAnsi="Times New Roman" w:cs="Times New Roman"/>
          <w:sz w:val="20"/>
          <w:szCs w:val="20"/>
        </w:rPr>
        <w:br/>
        <w:t>- Figure S4. Partial dependence or response curves for key predictors (for example, soil moisture, SSR, lagged T2M anomaly) from interpretable models, illustrating physically consistent relationships.</w:t>
      </w:r>
      <w:r w:rsidRPr="00DF3938">
        <w:rPr>
          <w:rFonts w:ascii="Times New Roman" w:hAnsi="Times New Roman" w:cs="Times New Roman"/>
          <w:sz w:val="20"/>
          <w:szCs w:val="20"/>
        </w:rPr>
        <w:br/>
        <w:t>- Figure S5. Sensitivity analysis results, s</w:t>
      </w:r>
      <w:r w:rsidRPr="00DF3938">
        <w:rPr>
          <w:rFonts w:ascii="Times New Roman" w:hAnsi="Times New Roman" w:cs="Times New Roman"/>
          <w:sz w:val="20"/>
          <w:szCs w:val="20"/>
        </w:rPr>
        <w:t>uch as skill changes when selected feature groups are removed.</w:t>
      </w:r>
      <w:r w:rsidRPr="00DF3938">
        <w:rPr>
          <w:rFonts w:ascii="Times New Roman" w:hAnsi="Times New Roman" w:cs="Times New Roman"/>
          <w:sz w:val="20"/>
          <w:szCs w:val="20"/>
        </w:rPr>
        <w:br/>
      </w:r>
      <w:r w:rsidRPr="00DF3938">
        <w:rPr>
          <w:rFonts w:ascii="Times New Roman" w:hAnsi="Times New Roman" w:cs="Times New Roman"/>
          <w:sz w:val="20"/>
          <w:szCs w:val="20"/>
        </w:rPr>
        <w:br/>
        <w:t>- Table S1. Summary of predictors, units, roles, and anomaly definitions (data dictionary).</w:t>
      </w:r>
      <w:r w:rsidRPr="00DF3938">
        <w:rPr>
          <w:rFonts w:ascii="Times New Roman" w:hAnsi="Times New Roman" w:cs="Times New Roman"/>
          <w:sz w:val="20"/>
          <w:szCs w:val="20"/>
        </w:rPr>
        <w:br/>
        <w:t>- Table S2. Overview of model hyperparameter ranges explored during tuning.</w:t>
      </w:r>
      <w:r w:rsidRPr="00DF3938">
        <w:rPr>
          <w:rFonts w:ascii="Times New Roman" w:hAnsi="Times New Roman" w:cs="Times New Roman"/>
          <w:sz w:val="20"/>
          <w:szCs w:val="20"/>
        </w:rPr>
        <w:br/>
        <w:t>- Table S3. Regional skill metrics by season and lead time (RMSE, MAE, R², ACC).</w:t>
      </w:r>
    </w:p>
    <w:p w14:paraId="79FC16BB" w14:textId="77777777" w:rsidR="008E0423" w:rsidRPr="00DF3938" w:rsidRDefault="00DF3938">
      <w:pPr>
        <w:pStyle w:val="Heading2"/>
        <w:rPr>
          <w:rFonts w:ascii="Times New Roman" w:hAnsi="Times New Roman" w:cs="Times New Roman"/>
          <w:color w:val="548DD4" w:themeColor="text2" w:themeTint="99"/>
          <w:sz w:val="20"/>
          <w:szCs w:val="20"/>
        </w:rPr>
      </w:pPr>
      <w:r w:rsidRPr="00DF3938">
        <w:rPr>
          <w:rFonts w:ascii="Times New Roman" w:hAnsi="Times New Roman" w:cs="Times New Roman"/>
          <w:color w:val="548DD4" w:themeColor="text2" w:themeTint="99"/>
          <w:sz w:val="20"/>
          <w:szCs w:val="20"/>
        </w:rPr>
        <w:t>S7. Reproducibility and Code Availability</w:t>
      </w:r>
    </w:p>
    <w:p w14:paraId="5700EC62"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The modeling pipeline used in this work is organized to separate configuration from computation and to support reproducible experiments. Data acquisition scripts, preprocessing routines, feature engineering steps, model training workflows, and evaluation notebooks can be packaged as:</w:t>
      </w:r>
    </w:p>
    <w:p w14:paraId="59794D88" w14:textId="77777777"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 Configuration files specifying domain, variables, and lead times.</w:t>
      </w:r>
      <w:r w:rsidRPr="00DF3938">
        <w:rPr>
          <w:rFonts w:ascii="Times New Roman" w:hAnsi="Times New Roman" w:cs="Times New Roman"/>
          <w:sz w:val="20"/>
          <w:szCs w:val="20"/>
        </w:rPr>
        <w:br/>
        <w:t>- Reproducible scripts or notebooks for anomaly computation and feature generation.</w:t>
      </w:r>
      <w:r w:rsidRPr="00DF3938">
        <w:rPr>
          <w:rFonts w:ascii="Times New Roman" w:hAnsi="Times New Roman" w:cs="Times New Roman"/>
          <w:sz w:val="20"/>
          <w:szCs w:val="20"/>
        </w:rPr>
        <w:br/>
        <w:t>- Model training and evaluation scripts implementing the expanding-window validation and skill calculation.</w:t>
      </w:r>
    </w:p>
    <w:p w14:paraId="1DA043C2" w14:textId="30B9C7AB" w:rsidR="008E0423" w:rsidRPr="00DF3938" w:rsidRDefault="00DF3938">
      <w:pPr>
        <w:rPr>
          <w:rFonts w:ascii="Times New Roman" w:hAnsi="Times New Roman" w:cs="Times New Roman"/>
          <w:sz w:val="20"/>
          <w:szCs w:val="20"/>
        </w:rPr>
      </w:pPr>
      <w:r w:rsidRPr="00DF3938">
        <w:rPr>
          <w:rFonts w:ascii="Times New Roman" w:hAnsi="Times New Roman" w:cs="Times New Roman"/>
          <w:sz w:val="20"/>
          <w:szCs w:val="20"/>
        </w:rPr>
        <w:t>Code and configuration files may be made available to interested researchers and operational partners upon reasonable request or</w:t>
      </w:r>
      <w:r w:rsidRPr="00DF3938">
        <w:rPr>
          <w:rFonts w:ascii="Times New Roman" w:hAnsi="Times New Roman" w:cs="Times New Roman"/>
          <w:sz w:val="20"/>
          <w:szCs w:val="20"/>
        </w:rPr>
        <w:t xml:space="preserve"> deposited in an open repository as part of the final publication workflow.</w:t>
      </w:r>
    </w:p>
    <w:sectPr w:rsidR="008E0423" w:rsidRPr="00DF393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97859856">
    <w:abstractNumId w:val="8"/>
  </w:num>
  <w:num w:numId="2" w16cid:durableId="350180181">
    <w:abstractNumId w:val="6"/>
  </w:num>
  <w:num w:numId="3" w16cid:durableId="1687905784">
    <w:abstractNumId w:val="5"/>
  </w:num>
  <w:num w:numId="4" w16cid:durableId="1541282653">
    <w:abstractNumId w:val="4"/>
  </w:num>
  <w:num w:numId="5" w16cid:durableId="2089230718">
    <w:abstractNumId w:val="7"/>
  </w:num>
  <w:num w:numId="6" w16cid:durableId="74280952">
    <w:abstractNumId w:val="3"/>
  </w:num>
  <w:num w:numId="7" w16cid:durableId="2138792427">
    <w:abstractNumId w:val="2"/>
  </w:num>
  <w:num w:numId="8" w16cid:durableId="1899441349">
    <w:abstractNumId w:val="1"/>
  </w:num>
  <w:num w:numId="9" w16cid:durableId="579558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328F0"/>
    <w:rsid w:val="008E0423"/>
    <w:rsid w:val="00AA1D8D"/>
    <w:rsid w:val="00B47730"/>
    <w:rsid w:val="00CB0664"/>
    <w:rsid w:val="00DF393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927484"/>
  <w14:defaultImageDpi w14:val="300"/>
  <w15:docId w15:val="{5D92615C-B556-4D4A-BE85-8D82F84F1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1106</Words>
  <Characters>6306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Ikeoluwa Taiwo</cp:lastModifiedBy>
  <cp:revision>2</cp:revision>
  <dcterms:created xsi:type="dcterms:W3CDTF">2025-12-03T14:19:00Z</dcterms:created>
  <dcterms:modified xsi:type="dcterms:W3CDTF">2025-12-03T14:19:00Z</dcterms:modified>
  <cp:category/>
</cp:coreProperties>
</file>